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70CD" w14:textId="77777777" w:rsidR="00A81098" w:rsidRPr="0007563A" w:rsidRDefault="0007563A" w:rsidP="0007563A">
      <w:pPr>
        <w:jc w:val="center"/>
        <w:rPr>
          <w:rFonts w:ascii="Arial" w:hAnsi="Arial" w:cs="Arial"/>
          <w:b/>
          <w:sz w:val="28"/>
          <w:szCs w:val="28"/>
        </w:rPr>
      </w:pPr>
      <w:r w:rsidRPr="0007563A">
        <w:rPr>
          <w:rFonts w:ascii="Arial" w:hAnsi="Arial" w:cs="Arial"/>
          <w:b/>
          <w:sz w:val="28"/>
          <w:szCs w:val="28"/>
        </w:rPr>
        <w:t>COST PROPOSAL</w:t>
      </w:r>
    </w:p>
    <w:p w14:paraId="5C3F6381" w14:textId="2BF9D3FD" w:rsidR="0007563A" w:rsidRPr="0007563A" w:rsidRDefault="00322E6A" w:rsidP="000756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Proposal 5702</w:t>
      </w:r>
      <w:bookmarkStart w:id="0" w:name="_GoBack"/>
      <w:bookmarkEnd w:id="0"/>
      <w:r w:rsidR="0007563A" w:rsidRPr="0007563A">
        <w:rPr>
          <w:rFonts w:ascii="Arial" w:hAnsi="Arial" w:cs="Arial"/>
          <w:sz w:val="28"/>
          <w:szCs w:val="28"/>
        </w:rPr>
        <w:t xml:space="preserve"> Z1</w:t>
      </w:r>
    </w:p>
    <w:p w14:paraId="06D92F99" w14:textId="77777777" w:rsidR="0007563A" w:rsidRDefault="0007563A">
      <w:pPr>
        <w:rPr>
          <w:rFonts w:ascii="Arial" w:hAnsi="Arial" w:cs="Arial"/>
          <w:sz w:val="24"/>
          <w:szCs w:val="24"/>
        </w:rPr>
      </w:pPr>
      <w:r w:rsidRPr="0007563A">
        <w:rPr>
          <w:rFonts w:ascii="Arial" w:hAnsi="Arial" w:cs="Arial"/>
          <w:sz w:val="24"/>
          <w:szCs w:val="24"/>
        </w:rPr>
        <w:t>Bidder Name: __________________________________________________________</w:t>
      </w:r>
    </w:p>
    <w:p w14:paraId="5503AAFE" w14:textId="77777777" w:rsidR="006B5034" w:rsidRDefault="006B5034" w:rsidP="006B5034">
      <w:pPr>
        <w:pStyle w:val="Level2Body"/>
        <w:ind w:left="0"/>
        <w:rPr>
          <w:sz w:val="24"/>
        </w:rPr>
      </w:pPr>
    </w:p>
    <w:p w14:paraId="08C3A4C6" w14:textId="77777777" w:rsidR="006B5034" w:rsidRPr="006B5034" w:rsidRDefault="006B5034" w:rsidP="006B5034">
      <w:pPr>
        <w:pStyle w:val="Level2Body"/>
        <w:ind w:left="0"/>
        <w:rPr>
          <w:sz w:val="24"/>
        </w:rPr>
      </w:pPr>
      <w:r w:rsidRPr="006B5034">
        <w:rPr>
          <w:sz w:val="24"/>
        </w:rPr>
        <w:t>Prices submitted on the cost proposal form, once accepted by the State, shall remain fixed for the entire contract period including renewal and/or extension periods.</w:t>
      </w:r>
    </w:p>
    <w:p w14:paraId="5494F2E1" w14:textId="77777777" w:rsidR="0007563A" w:rsidRDefault="0007563A" w:rsidP="006B5034">
      <w:pPr>
        <w:ind w:hanging="720"/>
        <w:rPr>
          <w:rFonts w:ascii="Arial" w:hAnsi="Arial" w:cs="Arial"/>
          <w:sz w:val="24"/>
          <w:szCs w:val="24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445"/>
        <w:gridCol w:w="7290"/>
        <w:gridCol w:w="1685"/>
      </w:tblGrid>
      <w:tr w:rsidR="0007563A" w:rsidRPr="0007563A" w14:paraId="4E7DBAC3" w14:textId="77777777" w:rsidTr="0007563A">
        <w:trPr>
          <w:trHeight w:val="90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F5B" w14:textId="77777777" w:rsidR="0007563A" w:rsidRPr="0007563A" w:rsidRDefault="0007563A" w:rsidP="0007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8C4B" w14:textId="77777777" w:rsidR="0007563A" w:rsidRPr="00EE1B18" w:rsidRDefault="0007563A" w:rsidP="006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Paired (blood and urine) post-race sample subjected to analysis as described in Section V. </w:t>
            </w:r>
            <w:r w:rsidR="006B5034"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K. Scope of Testing – Standard Post-Race Screening Analysis</w:t>
            </w: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and inclusive of all analysis required for the issuance of a final report.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0B5D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07563A" w:rsidRPr="0007563A" w14:paraId="6A81D622" w14:textId="77777777" w:rsidTr="0007563A">
        <w:trPr>
          <w:trHeight w:val="9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BB9" w14:textId="77777777" w:rsidR="0007563A" w:rsidRPr="0007563A" w:rsidRDefault="0007563A" w:rsidP="0007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ACB9" w14:textId="77777777" w:rsidR="0007563A" w:rsidRPr="00EE1B18" w:rsidRDefault="0007563A" w:rsidP="006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Single matrix (blood only) post-race sample subjected to analysis as described in </w:t>
            </w:r>
            <w:r w:rsidR="006B5034"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Section V. K. Scope of Testing – Standard Post-Race Screening Analysis</w:t>
            </w: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and inclusive of all analysis required for the issuance of a final report.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137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07563A" w:rsidRPr="0007563A" w14:paraId="778BB7D1" w14:textId="77777777" w:rsidTr="0007563A">
        <w:trPr>
          <w:trHeight w:val="9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B750" w14:textId="77777777" w:rsidR="0007563A" w:rsidRPr="0007563A" w:rsidRDefault="0007563A" w:rsidP="0007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2D30" w14:textId="4EFD65C6" w:rsidR="0007563A" w:rsidRPr="00EE1B18" w:rsidRDefault="0007563A" w:rsidP="006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Veterinarian's Li</w:t>
            </w:r>
            <w:r w:rsidR="00EE1B18"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st:  Single matrix (blood only)</w:t>
            </w: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sample subjected to analysis as described in Section V. </w:t>
            </w:r>
            <w:r w:rsidR="006B5034"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 Samples Derived from Horses Working for Release from the Vets’ List</w:t>
            </w: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and inclusive of all analysis required for the issuance of a final report.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BF5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07563A" w:rsidRPr="0007563A" w14:paraId="333BBFE7" w14:textId="77777777" w:rsidTr="0007563A">
        <w:trPr>
          <w:trHeight w:val="300"/>
          <w:jc w:val="center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9C2" w14:textId="77777777" w:rsidR="0007563A" w:rsidRPr="0007563A" w:rsidRDefault="0007563A" w:rsidP="0007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E2A2" w14:textId="77777777" w:rsidR="0007563A" w:rsidRPr="00EE1B18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Analysis of confiscated, or otherwise acquired substances</w:t>
            </w:r>
            <w:r w:rsidR="006B5034"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described in Section V. N. Scope of Work – Substance/Unknowns</w:t>
            </w:r>
            <w:r w:rsidRPr="00EE1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A1B72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563A" w:rsidRPr="0007563A" w14:paraId="10194AE3" w14:textId="77777777" w:rsidTr="0007563A">
        <w:trPr>
          <w:trHeight w:val="600"/>
          <w:jc w:val="center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DD271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0481" w14:textId="77777777" w:rsidR="0007563A" w:rsidRPr="0007563A" w:rsidRDefault="0007563A" w:rsidP="0007563A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a.) Analysis of substances with list of labeled </w:t>
            </w:r>
            <w:r w:rsidR="00234AB9"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ingredients</w:t>
            </w: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described in the RMTC Protocol for </w:t>
            </w:r>
            <w:r w:rsidR="00234AB9"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Verification</w:t>
            </w: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Label </w:t>
            </w:r>
            <w:r w:rsidR="00234AB9"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Ingredients</w:t>
            </w:r>
            <w:r w:rsidR="002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F55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07563A" w:rsidRPr="0007563A" w14:paraId="2AB90302" w14:textId="77777777" w:rsidTr="0007563A">
        <w:trPr>
          <w:trHeight w:val="600"/>
          <w:jc w:val="center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9320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EFFD" w14:textId="77777777" w:rsidR="0007563A" w:rsidRPr="0007563A" w:rsidRDefault="0007563A" w:rsidP="0007563A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b.) Analysis of substances lacking a list of label ingredients, 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described in the RMTC Unknown Sample Protocol.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40B" w14:textId="77777777" w:rsidR="0007563A" w:rsidRPr="0007563A" w:rsidRDefault="0007563A" w:rsidP="0007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</w:tbl>
    <w:p w14:paraId="16B524B1" w14:textId="77777777" w:rsidR="0007563A" w:rsidRPr="0007563A" w:rsidRDefault="0007563A">
      <w:pPr>
        <w:rPr>
          <w:rFonts w:ascii="Arial" w:hAnsi="Arial" w:cs="Arial"/>
          <w:sz w:val="24"/>
          <w:szCs w:val="24"/>
        </w:rPr>
      </w:pPr>
    </w:p>
    <w:sectPr w:rsidR="0007563A" w:rsidRPr="0007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A"/>
    <w:rsid w:val="0007563A"/>
    <w:rsid w:val="00234AB9"/>
    <w:rsid w:val="00295582"/>
    <w:rsid w:val="00322E6A"/>
    <w:rsid w:val="006B5034"/>
    <w:rsid w:val="00861B35"/>
    <w:rsid w:val="00EE1B18"/>
    <w:rsid w:val="00F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1B94"/>
  <w15:chartTrackingRefBased/>
  <w15:docId w15:val="{BEBDCAA8-DCC7-4AD8-B340-F13E85E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2BodyChar">
    <w:name w:val="Level 2 Body Char"/>
    <w:link w:val="Level2Body"/>
    <w:rsid w:val="006B5034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6B5034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Teresa</dc:creator>
  <cp:keywords/>
  <dc:description/>
  <cp:lastModifiedBy>Caldwell, Sonya</cp:lastModifiedBy>
  <cp:revision>5</cp:revision>
  <dcterms:created xsi:type="dcterms:W3CDTF">2017-08-28T19:54:00Z</dcterms:created>
  <dcterms:modified xsi:type="dcterms:W3CDTF">2017-10-03T17:19:00Z</dcterms:modified>
</cp:coreProperties>
</file>